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81" w:rsidRDefault="004828F6" w:rsidP="006C5E57">
      <w:pPr>
        <w:pStyle w:val="Title"/>
      </w:pPr>
      <w:r>
        <w:t xml:space="preserve">Planning for </w:t>
      </w:r>
      <w:r w:rsidR="0065426B">
        <w:t xml:space="preserve">Root Cause </w:t>
      </w:r>
      <w:r w:rsidR="00A90613">
        <w:t>Analysis and Finalizing the Data Narrative</w:t>
      </w:r>
    </w:p>
    <w:p w:rsidR="00D32779" w:rsidRDefault="00CC5E31" w:rsidP="00CC5E31">
      <w:pPr>
        <w:pStyle w:val="Heading1"/>
      </w:pPr>
      <w:r>
        <w:t>Root Causes Analysis</w:t>
      </w:r>
    </w:p>
    <w:tbl>
      <w:tblPr>
        <w:tblStyle w:val="LightList-Accent1"/>
        <w:tblW w:w="0" w:type="auto"/>
        <w:tblLook w:val="04A0"/>
      </w:tblPr>
      <w:tblGrid>
        <w:gridCol w:w="4428"/>
        <w:gridCol w:w="2970"/>
        <w:gridCol w:w="1530"/>
        <w:gridCol w:w="4500"/>
      </w:tblGrid>
      <w:tr w:rsidR="00F74BA8" w:rsidRPr="00F74BA8" w:rsidTr="00063472">
        <w:trPr>
          <w:cnfStyle w:val="100000000000"/>
          <w:tblHeader/>
        </w:trPr>
        <w:tc>
          <w:tcPr>
            <w:cnfStyle w:val="001000000000"/>
            <w:tcW w:w="4428" w:type="dxa"/>
          </w:tcPr>
          <w:p w:rsidR="00F74BA8" w:rsidRPr="00F74BA8" w:rsidRDefault="00F74BA8" w:rsidP="00063472">
            <w:pPr>
              <w:pStyle w:val="Heading2"/>
              <w:ind w:left="0"/>
              <w:jc w:val="center"/>
              <w:outlineLvl w:val="1"/>
            </w:pPr>
            <w:r w:rsidRPr="00F74BA8">
              <w:t>Tasks</w:t>
            </w:r>
          </w:p>
        </w:tc>
        <w:tc>
          <w:tcPr>
            <w:tcW w:w="2970" w:type="dxa"/>
          </w:tcPr>
          <w:p w:rsidR="00F74BA8" w:rsidRPr="00F74BA8" w:rsidRDefault="00F74BA8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Current Status</w:t>
            </w:r>
          </w:p>
        </w:tc>
        <w:tc>
          <w:tcPr>
            <w:tcW w:w="1530" w:type="dxa"/>
          </w:tcPr>
          <w:p w:rsidR="00F74BA8" w:rsidRPr="00F74BA8" w:rsidRDefault="00F74BA8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Who/When</w:t>
            </w:r>
          </w:p>
        </w:tc>
        <w:tc>
          <w:tcPr>
            <w:tcW w:w="4500" w:type="dxa"/>
          </w:tcPr>
          <w:p w:rsidR="00F74BA8" w:rsidRPr="00F74BA8" w:rsidRDefault="00F74BA8" w:rsidP="00063472">
            <w:pPr>
              <w:pStyle w:val="Heading2"/>
              <w:ind w:left="0"/>
              <w:jc w:val="center"/>
              <w:outlineLvl w:val="1"/>
              <w:cnfStyle w:val="100000000000"/>
            </w:pPr>
            <w:r w:rsidRPr="00F74BA8">
              <w:t>Materials/Tools</w:t>
            </w: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Default="00F74BA8" w:rsidP="00A90613">
            <w:pPr>
              <w:spacing w:after="120"/>
            </w:pPr>
            <w:r>
              <w:t>Develop planning team background regarding Root Cause Analysis</w:t>
            </w:r>
            <w:r w:rsidR="000E0F66">
              <w:t>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  <w:tr w:rsidR="00F74BA8" w:rsidTr="00063472">
        <w:trPr>
          <w:trHeight w:val="1440"/>
        </w:trPr>
        <w:tc>
          <w:tcPr>
            <w:cnfStyle w:val="001000000000"/>
            <w:tcW w:w="4428" w:type="dxa"/>
          </w:tcPr>
          <w:p w:rsidR="00F74BA8" w:rsidRDefault="00F74BA8" w:rsidP="00CC5E31">
            <w:pPr>
              <w:spacing w:after="120"/>
            </w:pPr>
            <w:r>
              <w:t>Inventory data (other than performance data) to be used as part of root cause analysis.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000000"/>
            </w:pP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Default="00F74BA8" w:rsidP="00CC5E31">
            <w:pPr>
              <w:spacing w:after="120"/>
            </w:pPr>
            <w:r>
              <w:t>Determine what data will be reviewed prior to or as part of root cause analysis.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  <w:tr w:rsidR="00F74BA8" w:rsidTr="00063472">
        <w:trPr>
          <w:trHeight w:val="1440"/>
        </w:trPr>
        <w:tc>
          <w:tcPr>
            <w:cnfStyle w:val="001000000000"/>
            <w:tcW w:w="4428" w:type="dxa"/>
          </w:tcPr>
          <w:p w:rsidR="00F74BA8" w:rsidRDefault="00F74BA8" w:rsidP="00CC5E31">
            <w:pPr>
              <w:spacing w:after="120"/>
            </w:pPr>
            <w:r>
              <w:t>Determine what data are available to use in validating root causes.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000000"/>
            </w:pP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CC5E31">
            <w:pPr>
              <w:spacing w:after="120"/>
            </w:pPr>
            <w:r>
              <w:t>Consider external review results (if applicable)</w:t>
            </w:r>
            <w:r w:rsidR="000E0F66">
              <w:t>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  <w:tr w:rsidR="00F74BA8" w:rsidTr="00063472">
        <w:trPr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CC5E31">
            <w:pPr>
              <w:spacing w:after="120"/>
            </w:pPr>
            <w:r w:rsidRPr="00CC5E31">
              <w:lastRenderedPageBreak/>
              <w:t>Generate explanations (brainstorm)</w:t>
            </w:r>
            <w:r w:rsidR="00063472">
              <w:t>, and categorize and summarize explanations</w:t>
            </w:r>
            <w:r w:rsidRPr="00CC5E31">
              <w:t>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000000"/>
            </w:pP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CC5E31">
            <w:pPr>
              <w:spacing w:after="120"/>
            </w:pPr>
            <w:r w:rsidRPr="00CC5E31">
              <w:t>Narrow (eliminate explanations over which you have no control)</w:t>
            </w:r>
            <w:r>
              <w:t xml:space="preserve"> and prioritize.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  <w:tr w:rsidR="00F74BA8" w:rsidTr="00063472">
        <w:trPr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CC5E31">
            <w:pPr>
              <w:spacing w:after="120"/>
            </w:pPr>
            <w:r>
              <w:t>Deepen thinking to g</w:t>
            </w:r>
            <w:r w:rsidRPr="00CC5E31">
              <w:t>et to root cause(s).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000000"/>
            </w:pP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CC5E31">
            <w:pPr>
              <w:spacing w:after="120"/>
            </w:pPr>
            <w:r w:rsidRPr="00CC5E31">
              <w:t>Validate with other data.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  <w:tr w:rsidR="00F74BA8" w:rsidTr="00063472">
        <w:trPr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A90613">
            <w:pPr>
              <w:spacing w:after="120"/>
            </w:pPr>
            <w:r w:rsidRPr="00CC5E31">
              <w:t>Capture root causes in the Data Analysis Worksheet</w:t>
            </w:r>
            <w:r>
              <w:t xml:space="preserve"> and the Data Narrative</w:t>
            </w:r>
            <w:r w:rsidRPr="00CC5E31">
              <w:t>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0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000000"/>
            </w:pPr>
          </w:p>
        </w:tc>
      </w:tr>
      <w:tr w:rsidR="00F74BA8" w:rsidTr="00063472">
        <w:trPr>
          <w:cnfStyle w:val="000000100000"/>
          <w:trHeight w:val="1440"/>
        </w:trPr>
        <w:tc>
          <w:tcPr>
            <w:cnfStyle w:val="001000000000"/>
            <w:tcW w:w="4428" w:type="dxa"/>
          </w:tcPr>
          <w:p w:rsidR="00F74BA8" w:rsidRPr="00CC5E31" w:rsidRDefault="00F74BA8" w:rsidP="00F74BA8">
            <w:pPr>
              <w:spacing w:after="120"/>
            </w:pPr>
            <w:r>
              <w:t>Describe (in writing) the process used to identify root causes, and how they were validated in the Data Narrative.</w:t>
            </w:r>
          </w:p>
        </w:tc>
        <w:tc>
          <w:tcPr>
            <w:tcW w:w="297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1530" w:type="dxa"/>
          </w:tcPr>
          <w:p w:rsidR="00F74BA8" w:rsidRDefault="00F74BA8" w:rsidP="00B44E83">
            <w:pPr>
              <w:cnfStyle w:val="000000100000"/>
            </w:pPr>
          </w:p>
        </w:tc>
        <w:tc>
          <w:tcPr>
            <w:tcW w:w="4500" w:type="dxa"/>
          </w:tcPr>
          <w:p w:rsidR="00F74BA8" w:rsidRDefault="00F74BA8" w:rsidP="00B44E83">
            <w:pPr>
              <w:cnfStyle w:val="000000100000"/>
            </w:pPr>
          </w:p>
        </w:tc>
      </w:tr>
    </w:tbl>
    <w:p w:rsidR="00D32779" w:rsidRDefault="00D32779" w:rsidP="00B44E83"/>
    <w:p w:rsidR="00756486" w:rsidRDefault="00CC5E31" w:rsidP="00AA183B">
      <w:pPr>
        <w:pStyle w:val="Heading1"/>
      </w:pPr>
      <w:r w:rsidRPr="00AA183B">
        <w:t>Finalizing the Data Narrative</w:t>
      </w:r>
    </w:p>
    <w:tbl>
      <w:tblPr>
        <w:tblStyle w:val="LightShading-Accent1"/>
        <w:tblW w:w="0" w:type="auto"/>
        <w:tblLook w:val="04A0"/>
      </w:tblPr>
      <w:tblGrid>
        <w:gridCol w:w="3978"/>
        <w:gridCol w:w="2520"/>
        <w:gridCol w:w="1530"/>
        <w:gridCol w:w="3060"/>
        <w:gridCol w:w="2250"/>
      </w:tblGrid>
      <w:tr w:rsidR="00CC5E31" w:rsidTr="00063472">
        <w:trPr>
          <w:cnfStyle w:val="100000000000"/>
        </w:trPr>
        <w:tc>
          <w:tcPr>
            <w:cnfStyle w:val="001000000000"/>
            <w:tcW w:w="3978" w:type="dxa"/>
          </w:tcPr>
          <w:p w:rsidR="00CC5E31" w:rsidRDefault="00CC5E31" w:rsidP="00063472">
            <w:pPr>
              <w:pStyle w:val="Heading3"/>
              <w:jc w:val="center"/>
              <w:outlineLvl w:val="2"/>
            </w:pPr>
            <w:r>
              <w:t>Tasks</w:t>
            </w:r>
          </w:p>
        </w:tc>
        <w:tc>
          <w:tcPr>
            <w:tcW w:w="2520" w:type="dxa"/>
          </w:tcPr>
          <w:p w:rsidR="00CC5E31" w:rsidRDefault="00063472" w:rsidP="00063472">
            <w:pPr>
              <w:pStyle w:val="Heading3"/>
              <w:jc w:val="center"/>
              <w:outlineLvl w:val="2"/>
              <w:cnfStyle w:val="100000000000"/>
            </w:pPr>
            <w:r>
              <w:t>Current Status</w:t>
            </w:r>
          </w:p>
        </w:tc>
        <w:tc>
          <w:tcPr>
            <w:tcW w:w="1530" w:type="dxa"/>
          </w:tcPr>
          <w:p w:rsidR="00CC5E31" w:rsidRDefault="00063472" w:rsidP="00063472">
            <w:pPr>
              <w:pStyle w:val="Heading3"/>
              <w:jc w:val="center"/>
              <w:outlineLvl w:val="2"/>
              <w:cnfStyle w:val="100000000000"/>
            </w:pPr>
            <w:r>
              <w:t>Who/When</w:t>
            </w:r>
          </w:p>
        </w:tc>
        <w:tc>
          <w:tcPr>
            <w:tcW w:w="3060" w:type="dxa"/>
          </w:tcPr>
          <w:p w:rsidR="00CC5E31" w:rsidRDefault="00063472" w:rsidP="00063472">
            <w:pPr>
              <w:pStyle w:val="Heading3"/>
              <w:jc w:val="center"/>
              <w:outlineLvl w:val="2"/>
              <w:cnfStyle w:val="100000000000"/>
            </w:pPr>
            <w:r>
              <w:t>How</w:t>
            </w:r>
          </w:p>
        </w:tc>
        <w:tc>
          <w:tcPr>
            <w:tcW w:w="2250" w:type="dxa"/>
          </w:tcPr>
          <w:p w:rsidR="00CC5E31" w:rsidRDefault="00CC5E31" w:rsidP="00063472">
            <w:pPr>
              <w:pStyle w:val="Heading3"/>
              <w:jc w:val="center"/>
              <w:outlineLvl w:val="2"/>
              <w:cnfStyle w:val="100000000000"/>
            </w:pPr>
            <w:r>
              <w:t>Materials/Tools</w:t>
            </w:r>
          </w:p>
        </w:tc>
      </w:tr>
      <w:tr w:rsidR="00CC5E31" w:rsidTr="00063472">
        <w:trPr>
          <w:cnfStyle w:val="000000100000"/>
          <w:trHeight w:val="1440"/>
        </w:trPr>
        <w:tc>
          <w:tcPr>
            <w:cnfStyle w:val="001000000000"/>
            <w:tcW w:w="3978" w:type="dxa"/>
          </w:tcPr>
          <w:p w:rsidR="00CC5E31" w:rsidRPr="00CC5E31" w:rsidRDefault="00A90613" w:rsidP="00063472">
            <w:r>
              <w:t>Clarify</w:t>
            </w:r>
            <w:r w:rsidR="00CC5E31" w:rsidRPr="00CC5E31">
              <w:t xml:space="preserve"> critical elements of the data narrative (</w:t>
            </w:r>
            <w:r w:rsidR="00063472">
              <w:t>Data Narrative O</w:t>
            </w:r>
            <w:r w:rsidR="00CC5E31" w:rsidRPr="00CC5E31">
              <w:t>utline</w:t>
            </w:r>
            <w:r>
              <w:t>)</w:t>
            </w:r>
            <w:r w:rsidR="000E0F66">
              <w:t>.</w:t>
            </w:r>
          </w:p>
        </w:tc>
        <w:tc>
          <w:tcPr>
            <w:tcW w:w="252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153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306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2250" w:type="dxa"/>
          </w:tcPr>
          <w:p w:rsidR="00CC5E31" w:rsidRDefault="00CC5E31" w:rsidP="00CC5E31">
            <w:pPr>
              <w:cnfStyle w:val="000000100000"/>
            </w:pPr>
          </w:p>
        </w:tc>
      </w:tr>
      <w:tr w:rsidR="00CC5E31" w:rsidTr="00063472">
        <w:trPr>
          <w:trHeight w:val="1440"/>
        </w:trPr>
        <w:tc>
          <w:tcPr>
            <w:cnfStyle w:val="001000000000"/>
            <w:tcW w:w="3978" w:type="dxa"/>
          </w:tcPr>
          <w:p w:rsidR="00CC5E31" w:rsidRPr="00CC5E31" w:rsidRDefault="00CC5E31" w:rsidP="00A90613">
            <w:r w:rsidRPr="00CC5E31">
              <w:t>Collect notes about the data analysis processes</w:t>
            </w:r>
            <w:r w:rsidR="00063472">
              <w:t xml:space="preserve"> (identifying notable trends, prioritizing performance challenges, identifying root causes)</w:t>
            </w:r>
            <w:r w:rsidR="000E0F66">
              <w:t>.</w:t>
            </w:r>
            <w:r>
              <w:br/>
            </w:r>
            <w:r>
              <w:br/>
            </w:r>
          </w:p>
        </w:tc>
        <w:tc>
          <w:tcPr>
            <w:tcW w:w="252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153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306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2250" w:type="dxa"/>
          </w:tcPr>
          <w:p w:rsidR="00CC5E31" w:rsidRDefault="00CC5E31" w:rsidP="00CC5E31">
            <w:pPr>
              <w:cnfStyle w:val="000000000000"/>
            </w:pPr>
          </w:p>
        </w:tc>
      </w:tr>
      <w:tr w:rsidR="00CC5E31" w:rsidTr="00063472">
        <w:trPr>
          <w:cnfStyle w:val="000000100000"/>
          <w:trHeight w:val="1440"/>
        </w:trPr>
        <w:tc>
          <w:tcPr>
            <w:cnfStyle w:val="001000000000"/>
            <w:tcW w:w="3978" w:type="dxa"/>
          </w:tcPr>
          <w:p w:rsidR="00CC5E31" w:rsidRPr="00CC5E31" w:rsidRDefault="00A90613" w:rsidP="00063472">
            <w:r>
              <w:t>A small group</w:t>
            </w:r>
            <w:r w:rsidR="00063472">
              <w:t xml:space="preserve"> </w:t>
            </w:r>
            <w:r w:rsidR="00CC5E31" w:rsidRPr="00CC5E31">
              <w:t>(or individual) generate</w:t>
            </w:r>
            <w:r w:rsidR="00063472">
              <w:t>s a draft of data narrative</w:t>
            </w:r>
            <w:r w:rsidR="000E0F66">
              <w:t>.</w:t>
            </w:r>
            <w:r w:rsidR="00CC5E31">
              <w:br/>
            </w:r>
            <w:r w:rsidR="00CC5E31">
              <w:br/>
            </w:r>
          </w:p>
        </w:tc>
        <w:tc>
          <w:tcPr>
            <w:tcW w:w="252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153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306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2250" w:type="dxa"/>
          </w:tcPr>
          <w:p w:rsidR="00CC5E31" w:rsidRDefault="00CC5E31" w:rsidP="00CC5E31">
            <w:pPr>
              <w:cnfStyle w:val="000000100000"/>
            </w:pPr>
          </w:p>
        </w:tc>
      </w:tr>
      <w:tr w:rsidR="00CC5E31" w:rsidTr="00063472">
        <w:trPr>
          <w:trHeight w:val="1440"/>
        </w:trPr>
        <w:tc>
          <w:tcPr>
            <w:cnfStyle w:val="001000000000"/>
            <w:tcW w:w="3978" w:type="dxa"/>
          </w:tcPr>
          <w:p w:rsidR="00CC5E31" w:rsidRPr="00CC5E31" w:rsidRDefault="00CC5E31" w:rsidP="00A90613">
            <w:r w:rsidRPr="00CC5E31">
              <w:t>Reach consensus among all planning participants that the narrative</w:t>
            </w:r>
            <w:r>
              <w:t xml:space="preserve"> </w:t>
            </w:r>
            <w:r w:rsidRPr="00CC5E31">
              <w:t>tells the “data story” for the school and meets state criteria</w:t>
            </w:r>
            <w:r w:rsidR="000E0F66">
              <w:t>.</w:t>
            </w:r>
            <w:r>
              <w:br/>
            </w:r>
          </w:p>
        </w:tc>
        <w:tc>
          <w:tcPr>
            <w:tcW w:w="252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153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3060" w:type="dxa"/>
          </w:tcPr>
          <w:p w:rsidR="00CC5E31" w:rsidRDefault="00CC5E31" w:rsidP="00CC5E31">
            <w:pPr>
              <w:cnfStyle w:val="000000000000"/>
            </w:pPr>
          </w:p>
        </w:tc>
        <w:tc>
          <w:tcPr>
            <w:tcW w:w="2250" w:type="dxa"/>
          </w:tcPr>
          <w:p w:rsidR="00CC5E31" w:rsidRDefault="00CC5E31" w:rsidP="00CC5E31">
            <w:pPr>
              <w:cnfStyle w:val="000000000000"/>
            </w:pPr>
          </w:p>
        </w:tc>
      </w:tr>
      <w:tr w:rsidR="00CC5E31" w:rsidTr="00063472">
        <w:trPr>
          <w:cnfStyle w:val="000000100000"/>
          <w:trHeight w:val="1440"/>
        </w:trPr>
        <w:tc>
          <w:tcPr>
            <w:cnfStyle w:val="001000000000"/>
            <w:tcW w:w="3978" w:type="dxa"/>
          </w:tcPr>
          <w:p w:rsidR="00CC5E31" w:rsidRPr="00CC5E31" w:rsidRDefault="00CC5E31" w:rsidP="00A90613">
            <w:r w:rsidRPr="00CC5E31">
              <w:t>R</w:t>
            </w:r>
            <w:r w:rsidR="00063472">
              <w:t>evise data narrative as needed</w:t>
            </w:r>
            <w:r w:rsidR="000E0F66">
              <w:t>.</w:t>
            </w:r>
            <w:r>
              <w:br/>
            </w:r>
            <w:r>
              <w:br/>
            </w:r>
          </w:p>
        </w:tc>
        <w:tc>
          <w:tcPr>
            <w:tcW w:w="252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153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3060" w:type="dxa"/>
          </w:tcPr>
          <w:p w:rsidR="00CC5E31" w:rsidRDefault="00CC5E31" w:rsidP="00CC5E31">
            <w:pPr>
              <w:cnfStyle w:val="000000100000"/>
            </w:pPr>
          </w:p>
        </w:tc>
        <w:tc>
          <w:tcPr>
            <w:tcW w:w="2250" w:type="dxa"/>
          </w:tcPr>
          <w:p w:rsidR="00CC5E31" w:rsidRDefault="00CC5E31" w:rsidP="00CC5E31">
            <w:pPr>
              <w:cnfStyle w:val="000000100000"/>
            </w:pPr>
          </w:p>
        </w:tc>
      </w:tr>
    </w:tbl>
    <w:p w:rsidR="00CC5E31" w:rsidRDefault="00CC5E31">
      <w:pPr>
        <w:rPr>
          <w:rFonts w:ascii="Arial" w:hAnsi="Arial" w:cs="Arial"/>
          <w:b/>
          <w:bCs/>
          <w:kern w:val="32"/>
          <w:szCs w:val="32"/>
        </w:rPr>
      </w:pPr>
    </w:p>
    <w:sectPr w:rsidR="00CC5E31" w:rsidSect="00CC5E31">
      <w:pgSz w:w="15840" w:h="12240" w:orient="landscape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2E1"/>
    <w:multiLevelType w:val="hybridMultilevel"/>
    <w:tmpl w:val="3DE037C8"/>
    <w:lvl w:ilvl="0" w:tplc="65F2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2D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6C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06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F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46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C7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C2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307DF"/>
    <w:multiLevelType w:val="hybridMultilevel"/>
    <w:tmpl w:val="412A4F7A"/>
    <w:lvl w:ilvl="0" w:tplc="74D0D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F12F1E"/>
    <w:multiLevelType w:val="hybridMultilevel"/>
    <w:tmpl w:val="9870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038F6"/>
    <w:multiLevelType w:val="hybridMultilevel"/>
    <w:tmpl w:val="E51845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F72ED"/>
    <w:multiLevelType w:val="hybridMultilevel"/>
    <w:tmpl w:val="80CA58EC"/>
    <w:lvl w:ilvl="0" w:tplc="BC7A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44EF6">
      <w:start w:val="13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F82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324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45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900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60D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25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D78F9"/>
    <w:multiLevelType w:val="hybridMultilevel"/>
    <w:tmpl w:val="5310E5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783E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2D043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60D1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4027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FD20D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C0D0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A2E5A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5B409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50313BD8"/>
    <w:multiLevelType w:val="hybridMultilevel"/>
    <w:tmpl w:val="15EC71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5229CB"/>
    <w:multiLevelType w:val="hybridMultilevel"/>
    <w:tmpl w:val="B1F6BF50"/>
    <w:lvl w:ilvl="0" w:tplc="EE5E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8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2C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C4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668F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66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908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5696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B40F2"/>
    <w:multiLevelType w:val="hybridMultilevel"/>
    <w:tmpl w:val="6D526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A53C3"/>
    <w:rsid w:val="00063472"/>
    <w:rsid w:val="000D46CD"/>
    <w:rsid w:val="000E0F66"/>
    <w:rsid w:val="001872A7"/>
    <w:rsid w:val="0024152A"/>
    <w:rsid w:val="002A00D8"/>
    <w:rsid w:val="0039027B"/>
    <w:rsid w:val="00391E6B"/>
    <w:rsid w:val="004159B4"/>
    <w:rsid w:val="004271B6"/>
    <w:rsid w:val="00445D0E"/>
    <w:rsid w:val="00457BF8"/>
    <w:rsid w:val="00476BAA"/>
    <w:rsid w:val="004828F6"/>
    <w:rsid w:val="00484843"/>
    <w:rsid w:val="00495C08"/>
    <w:rsid w:val="004A419A"/>
    <w:rsid w:val="004C0D64"/>
    <w:rsid w:val="00585ED5"/>
    <w:rsid w:val="0065426B"/>
    <w:rsid w:val="006C5E57"/>
    <w:rsid w:val="00756486"/>
    <w:rsid w:val="007A53C3"/>
    <w:rsid w:val="007A5DF2"/>
    <w:rsid w:val="007A6F7E"/>
    <w:rsid w:val="007C7A31"/>
    <w:rsid w:val="00822BBD"/>
    <w:rsid w:val="00847B23"/>
    <w:rsid w:val="00895D48"/>
    <w:rsid w:val="008F5BE6"/>
    <w:rsid w:val="0097175D"/>
    <w:rsid w:val="00971A53"/>
    <w:rsid w:val="00A90256"/>
    <w:rsid w:val="00A90613"/>
    <w:rsid w:val="00AA183B"/>
    <w:rsid w:val="00B12C2B"/>
    <w:rsid w:val="00B44E83"/>
    <w:rsid w:val="00B8148A"/>
    <w:rsid w:val="00B81903"/>
    <w:rsid w:val="00C876DA"/>
    <w:rsid w:val="00C90E78"/>
    <w:rsid w:val="00CC5E31"/>
    <w:rsid w:val="00D32779"/>
    <w:rsid w:val="00D47ACC"/>
    <w:rsid w:val="00DD67D4"/>
    <w:rsid w:val="00F51D04"/>
    <w:rsid w:val="00F74BA8"/>
    <w:rsid w:val="00F8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72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183B"/>
    <w:pPr>
      <w:keepNext/>
      <w:spacing w:before="120"/>
      <w:outlineLvl w:val="0"/>
    </w:pPr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32779"/>
    <w:pPr>
      <w:keepNext/>
      <w:spacing w:before="120" w:after="60"/>
      <w:ind w:left="3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44E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47B23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83B"/>
    <w:rPr>
      <w:rFonts w:asciiTheme="majorHAnsi" w:hAnsiTheme="majorHAnsi" w:cs="Arial"/>
      <w:b/>
      <w:bCs/>
      <w:color w:val="4F81BD" w:themeColor="accent1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32779"/>
    <w:rPr>
      <w:rFonts w:asciiTheme="majorHAnsi" w:hAnsiTheme="majorHAnsi" w:cs="Arial"/>
      <w:b/>
      <w:bCs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47B23"/>
    <w:rPr>
      <w:bCs/>
      <w:i/>
      <w:sz w:val="24"/>
      <w:szCs w:val="28"/>
    </w:rPr>
  </w:style>
  <w:style w:type="paragraph" w:styleId="Title">
    <w:name w:val="Title"/>
    <w:basedOn w:val="Normal"/>
    <w:link w:val="TitleChar"/>
    <w:qFormat/>
    <w:rsid w:val="00847B23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47B23"/>
    <w:rPr>
      <w:rFonts w:asciiTheme="majorHAnsi" w:hAnsiTheme="majorHAnsi" w:cs="Arial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44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B44E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6CD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CC5E3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F74BA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0634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38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21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03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5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71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054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729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27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0091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4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67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168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2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0697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6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81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373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13</cp:revision>
  <dcterms:created xsi:type="dcterms:W3CDTF">2011-07-18T21:38:00Z</dcterms:created>
  <dcterms:modified xsi:type="dcterms:W3CDTF">2012-09-25T18:27:00Z</dcterms:modified>
</cp:coreProperties>
</file>